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303" w:rsidRDefault="00AE3303"/>
    <w:p w:rsidR="0019786F" w:rsidRPr="00AE3303" w:rsidRDefault="00AE3303" w:rsidP="00AE3303">
      <w:pPr>
        <w:jc w:val="center"/>
        <w:rPr>
          <w:b/>
          <w:sz w:val="36"/>
        </w:rPr>
      </w:pPr>
      <w:r w:rsidRPr="00AE3303">
        <w:rPr>
          <w:b/>
          <w:sz w:val="36"/>
        </w:rPr>
        <w:t>StreamNet Steering Committee Meeting</w:t>
      </w:r>
    </w:p>
    <w:p w:rsidR="00AE3303" w:rsidRPr="00AE3303" w:rsidRDefault="00AE3303" w:rsidP="00AE3303">
      <w:pPr>
        <w:jc w:val="center"/>
        <w:rPr>
          <w:b/>
          <w:sz w:val="36"/>
        </w:rPr>
      </w:pPr>
      <w:r w:rsidRPr="00AE3303">
        <w:rPr>
          <w:b/>
          <w:sz w:val="36"/>
        </w:rPr>
        <w:t>March 18, 2016</w:t>
      </w:r>
      <w:r w:rsidR="001C7354">
        <w:rPr>
          <w:b/>
          <w:sz w:val="36"/>
        </w:rPr>
        <w:t xml:space="preserve"> via conference call</w:t>
      </w:r>
    </w:p>
    <w:p w:rsidR="00AE3303" w:rsidRPr="00AE3303" w:rsidRDefault="00AE3303" w:rsidP="00AE3303">
      <w:pPr>
        <w:jc w:val="center"/>
        <w:rPr>
          <w:b/>
          <w:sz w:val="36"/>
        </w:rPr>
      </w:pPr>
    </w:p>
    <w:p w:rsidR="00AE3303" w:rsidRDefault="00AE3303" w:rsidP="00AE3303">
      <w:pPr>
        <w:jc w:val="center"/>
      </w:pPr>
      <w:r w:rsidRPr="00AE3303">
        <w:rPr>
          <w:b/>
          <w:sz w:val="36"/>
        </w:rPr>
        <w:t>Mike's not</w:t>
      </w:r>
      <w:r w:rsidR="001C7354">
        <w:rPr>
          <w:b/>
          <w:sz w:val="36"/>
        </w:rPr>
        <w:t>es</w:t>
      </w:r>
    </w:p>
    <w:p w:rsidR="00AE3303" w:rsidRDefault="00AE3303"/>
    <w:p w:rsidR="00564788" w:rsidRPr="00C34229" w:rsidRDefault="00C34229">
      <w:pPr>
        <w:rPr>
          <w:b/>
          <w:sz w:val="28"/>
          <w:szCs w:val="28"/>
          <w:u w:val="single"/>
        </w:rPr>
      </w:pPr>
      <w:r w:rsidRPr="00C34229">
        <w:rPr>
          <w:b/>
          <w:sz w:val="28"/>
          <w:szCs w:val="28"/>
          <w:u w:val="single"/>
        </w:rPr>
        <w:t xml:space="preserve">Attendees:  </w:t>
      </w:r>
    </w:p>
    <w:p w:rsidR="00F80877" w:rsidRDefault="00F80877"/>
    <w:p w:rsidR="00FA2038" w:rsidRDefault="00F80877">
      <w:r>
        <w:t>CCT:  Paul Clayton</w:t>
      </w:r>
      <w:r w:rsidR="005E0B5F">
        <w:t xml:space="preserve"> (in person)</w:t>
      </w:r>
    </w:p>
    <w:p w:rsidR="00F80877" w:rsidRDefault="00F80877">
      <w:r>
        <w:t>CRITFC:  Henry Franzoni</w:t>
      </w:r>
    </w:p>
    <w:p w:rsidR="00F80877" w:rsidRDefault="00F80877">
      <w:r>
        <w:t>IDFG:  Bart Butterfield, Evan Brown</w:t>
      </w:r>
    </w:p>
    <w:p w:rsidR="00445E46" w:rsidRDefault="00445E46">
      <w:r>
        <w:t>MFWP:  Dawn Anderson</w:t>
      </w:r>
    </w:p>
    <w:p w:rsidR="00F80877" w:rsidRDefault="00F80877">
      <w:r>
        <w:t>ODFW:  Cedric Cooney</w:t>
      </w:r>
    </w:p>
    <w:p w:rsidR="00FA2038" w:rsidRDefault="00FA2038">
      <w:r>
        <w:t>PSMFC:  Chris Wheaton, Mike Banach, Bill Kinney, Greg Wilke</w:t>
      </w:r>
      <w:r w:rsidR="005E0B5F">
        <w:t xml:space="preserve"> (</w:t>
      </w:r>
      <w:r w:rsidR="00FB1115">
        <w:t xml:space="preserve">all </w:t>
      </w:r>
      <w:r w:rsidR="005E0B5F">
        <w:t>in person)</w:t>
      </w:r>
    </w:p>
    <w:p w:rsidR="00FA2038" w:rsidRDefault="00FA2038">
      <w:r>
        <w:t>USFWS:  Roy Elicker, Steve Pastor</w:t>
      </w:r>
    </w:p>
    <w:p w:rsidR="00F80877" w:rsidRDefault="00F80877">
      <w:r>
        <w:t>WDFW:  Bob Woodard, Brodie Cox</w:t>
      </w:r>
    </w:p>
    <w:p w:rsidR="00F80877" w:rsidRDefault="00F80877">
      <w:r>
        <w:t>BPA:  Tom Pansky</w:t>
      </w:r>
      <w:r w:rsidR="005E0B5F">
        <w:t xml:space="preserve"> (in person)</w:t>
      </w:r>
    </w:p>
    <w:p w:rsidR="00FA2038" w:rsidRDefault="00FA2038">
      <w:r>
        <w:t>NPCC:  Nancy Leonard</w:t>
      </w:r>
    </w:p>
    <w:p w:rsidR="00FA2038" w:rsidRDefault="00FA2038">
      <w:r>
        <w:t>Tom Iverson International:  Tom Iverson</w:t>
      </w:r>
    </w:p>
    <w:p w:rsidR="00FA2038" w:rsidRDefault="00FA2038"/>
    <w:p w:rsidR="00FA2038" w:rsidRDefault="0042782C">
      <w:r>
        <w:rPr>
          <w:highlight w:val="yellow"/>
        </w:rPr>
        <w:t>Specific a</w:t>
      </w:r>
      <w:r w:rsidR="000D777A" w:rsidRPr="000D777A">
        <w:rPr>
          <w:highlight w:val="yellow"/>
        </w:rPr>
        <w:t>ssignments are highlighted in yellow.</w:t>
      </w:r>
    </w:p>
    <w:p w:rsidR="000D777A" w:rsidRDefault="000D777A"/>
    <w:p w:rsidR="009C1307" w:rsidRDefault="009C1307"/>
    <w:p w:rsidR="00AE3303" w:rsidRPr="00564788" w:rsidRDefault="006C531F">
      <w:pPr>
        <w:rPr>
          <w:b/>
          <w:sz w:val="28"/>
          <w:szCs w:val="28"/>
          <w:u w:val="single"/>
        </w:rPr>
      </w:pPr>
      <w:r>
        <w:rPr>
          <w:b/>
          <w:sz w:val="28"/>
          <w:szCs w:val="28"/>
          <w:u w:val="single"/>
        </w:rPr>
        <w:t xml:space="preserve">FY17 </w:t>
      </w:r>
      <w:r w:rsidR="00564788" w:rsidRPr="00564788">
        <w:rPr>
          <w:b/>
          <w:sz w:val="28"/>
          <w:szCs w:val="28"/>
          <w:u w:val="single"/>
        </w:rPr>
        <w:t>Budget discussion</w:t>
      </w:r>
    </w:p>
    <w:p w:rsidR="00AE3303" w:rsidRDefault="00AE3303"/>
    <w:p w:rsidR="00C34229" w:rsidRDefault="00E941A1" w:rsidP="00C34229">
      <w:pPr>
        <w:pStyle w:val="ListParagraph"/>
        <w:numPr>
          <w:ilvl w:val="0"/>
          <w:numId w:val="1"/>
        </w:numPr>
      </w:pPr>
      <w:r>
        <w:t>Tom P.:  Inflation adjustment in FY17 possible, but didn't happen for data projects in the past.  One way to fight is to tell what won't be possible at proposed level funding.</w:t>
      </w:r>
      <w:r w:rsidR="007B07AF">
        <w:t xml:space="preserve"> Tom also said that an additional $40,000 subcontract for Tom Iverson to continue his work on CA might be considered by BPA.</w:t>
      </w:r>
    </w:p>
    <w:p w:rsidR="00074C01" w:rsidRDefault="00E941A1" w:rsidP="00C34229">
      <w:pPr>
        <w:pStyle w:val="ListParagraph"/>
        <w:numPr>
          <w:ilvl w:val="0"/>
          <w:numId w:val="1"/>
        </w:numPr>
      </w:pPr>
      <w:r>
        <w:t xml:space="preserve">Chris:  Does anyone expect to not spend some in FY17?  </w:t>
      </w:r>
      <w:r w:rsidR="007B07AF">
        <w:t>S</w:t>
      </w:r>
      <w:r w:rsidR="006C531F">
        <w:t xml:space="preserve">howed </w:t>
      </w:r>
      <w:r w:rsidR="00765459">
        <w:t xml:space="preserve">a </w:t>
      </w:r>
      <w:r w:rsidR="006C531F">
        <w:t>slide with preliminary flat funding for FY17</w:t>
      </w:r>
      <w:r w:rsidR="00765459">
        <w:t xml:space="preserve"> that shows we will be about $28,000 over the allowable, and a second slide that showed</w:t>
      </w:r>
      <w:r w:rsidR="006C531F">
        <w:t xml:space="preserve"> FY15 </w:t>
      </w:r>
      <w:r w:rsidR="000D1484">
        <w:t>budget and actual spending, to see where money was left on the table last year.  Chris asked if anyone expected to not spend all their budgeted money in FY17 so the $28,000 could be made up.  There was a discussion of cutting recent increases versus everyone taking a proportional cut.</w:t>
      </w:r>
    </w:p>
    <w:p w:rsidR="000D1484" w:rsidRDefault="00074C01" w:rsidP="00074C01">
      <w:pPr>
        <w:pStyle w:val="ListParagraph"/>
        <w:numPr>
          <w:ilvl w:val="1"/>
          <w:numId w:val="1"/>
        </w:numPr>
      </w:pPr>
      <w:r>
        <w:t xml:space="preserve">Recent </w:t>
      </w:r>
      <w:r w:rsidR="00FC3AEC">
        <w:t xml:space="preserve">(FY16) </w:t>
      </w:r>
      <w:r>
        <w:t>increases were to USFWS for a 1/2 FTE, to WDFW for an east-side data tech, and to IDFG due to an overhead increase.</w:t>
      </w:r>
    </w:p>
    <w:p w:rsidR="00481F53" w:rsidRDefault="000D1484" w:rsidP="00C34229">
      <w:pPr>
        <w:pStyle w:val="ListParagraph"/>
        <w:numPr>
          <w:ilvl w:val="0"/>
          <w:numId w:val="1"/>
        </w:numPr>
      </w:pPr>
      <w:r>
        <w:t>Dawn offered to cut a $68,000 subcontract by</w:t>
      </w:r>
      <w:r w:rsidR="00B67A11">
        <w:t xml:space="preserve"> </w:t>
      </w:r>
      <w:r w:rsidR="006268AC">
        <w:t xml:space="preserve">about </w:t>
      </w:r>
      <w:r w:rsidR="00B67A11">
        <w:t>$15,000 (~</w:t>
      </w:r>
      <w:r>
        <w:t>25%</w:t>
      </w:r>
      <w:r w:rsidR="00B67A11">
        <w:t>)</w:t>
      </w:r>
      <w:r>
        <w:t>.</w:t>
      </w:r>
      <w:r w:rsidR="00747CE1">
        <w:t xml:space="preserve">  That covers about 1/2 the expected problem.</w:t>
      </w:r>
    </w:p>
    <w:p w:rsidR="00481F53" w:rsidRDefault="00481F53" w:rsidP="00C72EA1">
      <w:pPr>
        <w:pStyle w:val="ListParagraph"/>
        <w:numPr>
          <w:ilvl w:val="1"/>
          <w:numId w:val="1"/>
        </w:numPr>
      </w:pPr>
      <w:r>
        <w:t>Some work would be dropped by MFWP.</w:t>
      </w:r>
    </w:p>
    <w:p w:rsidR="00E941A1" w:rsidRDefault="000D1484" w:rsidP="00C72EA1">
      <w:pPr>
        <w:pStyle w:val="ListParagraph"/>
        <w:numPr>
          <w:ilvl w:val="1"/>
          <w:numId w:val="1"/>
        </w:numPr>
      </w:pPr>
      <w:r>
        <w:t>Everyone thanked Dawn and agreed to cut proportionally (except MFWP) to make u</w:t>
      </w:r>
      <w:r w:rsidR="00117F06">
        <w:t>p the rest of the difference, though C.A. data compilation could be affected in IDFG because seasonal data tech would be cut about 2 months.</w:t>
      </w:r>
    </w:p>
    <w:p w:rsidR="00514F05" w:rsidRDefault="00514F05" w:rsidP="0009323B">
      <w:pPr>
        <w:pStyle w:val="ListParagraph"/>
        <w:numPr>
          <w:ilvl w:val="0"/>
          <w:numId w:val="1"/>
        </w:numPr>
      </w:pPr>
      <w:r>
        <w:lastRenderedPageBreak/>
        <w:t>There was some discussion of how to try to get an increased budget so these cuts would not be needed.</w:t>
      </w:r>
    </w:p>
    <w:p w:rsidR="0009323B" w:rsidRDefault="0009323B" w:rsidP="0009323B">
      <w:pPr>
        <w:pStyle w:val="ListParagraph"/>
        <w:numPr>
          <w:ilvl w:val="0"/>
          <w:numId w:val="1"/>
        </w:numPr>
      </w:pPr>
      <w:r>
        <w:t>Tom P. said not to expect increases in FY18 either.  FY19 will start a new budget cycle, and the accords will end, so things are undefined for that year and going forward.</w:t>
      </w:r>
    </w:p>
    <w:p w:rsidR="006137CD" w:rsidRDefault="006137CD" w:rsidP="0009323B">
      <w:pPr>
        <w:pStyle w:val="ListParagraph"/>
        <w:numPr>
          <w:ilvl w:val="0"/>
          <w:numId w:val="1"/>
        </w:numPr>
      </w:pPr>
      <w:r>
        <w:t>After the meeting Chris produced the following first cut at the FY17 budget:</w:t>
      </w:r>
    </w:p>
    <w:p w:rsidR="006137CD" w:rsidRPr="006137CD" w:rsidRDefault="006137CD" w:rsidP="006137CD">
      <w:r w:rsidRPr="006137CD">
        <w:t> </w:t>
      </w:r>
    </w:p>
    <w:tbl>
      <w:tblPr>
        <w:tblW w:w="8960" w:type="dxa"/>
        <w:tblCellMar>
          <w:left w:w="0" w:type="dxa"/>
          <w:right w:w="0" w:type="dxa"/>
        </w:tblCellMar>
        <w:tblLook w:val="04A0" w:firstRow="1" w:lastRow="0" w:firstColumn="1" w:lastColumn="0" w:noHBand="0" w:noVBand="1"/>
      </w:tblPr>
      <w:tblGrid>
        <w:gridCol w:w="1740"/>
        <w:gridCol w:w="640"/>
        <w:gridCol w:w="460"/>
        <w:gridCol w:w="3108"/>
        <w:gridCol w:w="3012"/>
      </w:tblGrid>
      <w:tr w:rsidR="006137CD" w:rsidRPr="006137CD" w:rsidTr="006137CD">
        <w:trPr>
          <w:trHeight w:val="336"/>
        </w:trPr>
        <w:tc>
          <w:tcPr>
            <w:tcW w:w="17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2017 Budget</w:t>
            </w:r>
          </w:p>
        </w:tc>
        <w:tc>
          <w:tcPr>
            <w:tcW w:w="6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4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61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rPr>
                <w:b/>
                <w:bCs/>
              </w:rPr>
              <w:t>Percent of 2016 Budget Allocation</w:t>
            </w:r>
          </w:p>
        </w:tc>
      </w:tr>
      <w:tr w:rsidR="006137CD" w:rsidRPr="006137CD" w:rsidTr="006137CD">
        <w:trPr>
          <w:trHeight w:val="255"/>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64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46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3108"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8415AE" w:rsidRDefault="008415AE" w:rsidP="006137CD">
            <w:pPr>
              <w:rPr>
                <w:b/>
              </w:rPr>
            </w:pPr>
            <w:r w:rsidRPr="008415AE">
              <w:rPr>
                <w:b/>
              </w:rPr>
              <w:t>95.59%</w:t>
            </w:r>
          </w:p>
        </w:tc>
        <w:tc>
          <w:tcPr>
            <w:tcW w:w="3012"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8415AE" w:rsidP="006137CD">
            <w:r>
              <w:t>PSMFC</w:t>
            </w:r>
          </w:p>
        </w:tc>
      </w:tr>
      <w:tr w:rsidR="006137CD" w:rsidRPr="006137CD" w:rsidTr="006137CD">
        <w:trPr>
          <w:trHeight w:val="255"/>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 xml:space="preserve">$89,380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46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3108"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rPr>
                <w:b/>
                <w:bCs/>
              </w:rPr>
              <w:t>99.31%</w:t>
            </w:r>
          </w:p>
        </w:tc>
        <w:tc>
          <w:tcPr>
            <w:tcW w:w="3012"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CCT</w:t>
            </w:r>
          </w:p>
        </w:tc>
      </w:tr>
      <w:tr w:rsidR="006137CD" w:rsidRPr="006137CD" w:rsidTr="006137CD">
        <w:trPr>
          <w:trHeight w:val="255"/>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 xml:space="preserve">$329,012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46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3108"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rPr>
                <w:b/>
                <w:bCs/>
              </w:rPr>
              <w:t>99.31%</w:t>
            </w:r>
          </w:p>
        </w:tc>
        <w:tc>
          <w:tcPr>
            <w:tcW w:w="3012"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IDFG</w:t>
            </w:r>
          </w:p>
        </w:tc>
      </w:tr>
      <w:tr w:rsidR="006137CD" w:rsidRPr="006137CD" w:rsidTr="006137CD">
        <w:trPr>
          <w:trHeight w:val="255"/>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 xml:space="preserve">$155,000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46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3108"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rPr>
                <w:b/>
                <w:bCs/>
              </w:rPr>
              <w:t>91.78%</w:t>
            </w:r>
          </w:p>
        </w:tc>
        <w:tc>
          <w:tcPr>
            <w:tcW w:w="3012"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MFWP</w:t>
            </w:r>
          </w:p>
        </w:tc>
      </w:tr>
      <w:tr w:rsidR="006137CD" w:rsidRPr="006137CD" w:rsidTr="006137CD">
        <w:trPr>
          <w:trHeight w:val="255"/>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 xml:space="preserve">$471,210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46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3108"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rPr>
                <w:b/>
                <w:bCs/>
              </w:rPr>
              <w:t>99.32%</w:t>
            </w:r>
          </w:p>
        </w:tc>
        <w:tc>
          <w:tcPr>
            <w:tcW w:w="3012"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ODFW</w:t>
            </w:r>
          </w:p>
        </w:tc>
      </w:tr>
      <w:tr w:rsidR="006137CD" w:rsidRPr="006137CD" w:rsidTr="006137CD">
        <w:trPr>
          <w:trHeight w:val="255"/>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 xml:space="preserve">$77,719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46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3108"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rPr>
                <w:b/>
                <w:bCs/>
              </w:rPr>
              <w:t>99.32%</w:t>
            </w:r>
          </w:p>
        </w:tc>
        <w:tc>
          <w:tcPr>
            <w:tcW w:w="3012"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USFWS</w:t>
            </w:r>
          </w:p>
        </w:tc>
      </w:tr>
      <w:tr w:rsidR="006137CD" w:rsidRPr="006137CD" w:rsidTr="006137CD">
        <w:trPr>
          <w:trHeight w:val="336"/>
        </w:trPr>
        <w:tc>
          <w:tcPr>
            <w:tcW w:w="17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 xml:space="preserve">$467,323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460"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tc>
        <w:tc>
          <w:tcPr>
            <w:tcW w:w="3108"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rPr>
                <w:b/>
                <w:bCs/>
              </w:rPr>
              <w:t>99.32%</w:t>
            </w:r>
          </w:p>
        </w:tc>
        <w:tc>
          <w:tcPr>
            <w:tcW w:w="3012" w:type="dxa"/>
            <w:tcBorders>
              <w:top w:val="nil"/>
              <w:left w:val="nil"/>
              <w:bottom w:val="single" w:sz="8" w:space="0" w:color="auto"/>
              <w:right w:val="single" w:sz="8" w:space="0" w:color="auto"/>
            </w:tcBorders>
            <w:noWrap/>
            <w:tcMar>
              <w:top w:w="0" w:type="dxa"/>
              <w:left w:w="108" w:type="dxa"/>
              <w:bottom w:w="0" w:type="dxa"/>
              <w:right w:w="108" w:type="dxa"/>
            </w:tcMar>
            <w:hideMark/>
          </w:tcPr>
          <w:p w:rsidR="006137CD" w:rsidRPr="006137CD" w:rsidRDefault="006137CD" w:rsidP="006137CD">
            <w:r w:rsidRPr="006137CD">
              <w:t>WDFW</w:t>
            </w:r>
          </w:p>
        </w:tc>
      </w:tr>
    </w:tbl>
    <w:p w:rsidR="006137CD" w:rsidRDefault="006137CD"/>
    <w:p w:rsidR="006137CD" w:rsidRDefault="006137CD"/>
    <w:p w:rsidR="00C34229" w:rsidRDefault="00C34229"/>
    <w:p w:rsidR="00C34229" w:rsidRPr="00D00AC0" w:rsidRDefault="00D00AC0">
      <w:pPr>
        <w:rPr>
          <w:b/>
          <w:u w:val="single"/>
        </w:rPr>
      </w:pPr>
      <w:r w:rsidRPr="00D00AC0">
        <w:rPr>
          <w:b/>
          <w:sz w:val="28"/>
          <w:u w:val="single"/>
        </w:rPr>
        <w:t xml:space="preserve">CA – BPA </w:t>
      </w:r>
      <w:r w:rsidR="00B70D40">
        <w:rPr>
          <w:b/>
          <w:sz w:val="28"/>
          <w:u w:val="single"/>
        </w:rPr>
        <w:t>p</w:t>
      </w:r>
      <w:r w:rsidRPr="00D00AC0">
        <w:rPr>
          <w:b/>
          <w:sz w:val="28"/>
          <w:u w:val="single"/>
        </w:rPr>
        <w:t xml:space="preserve">riority </w:t>
      </w:r>
      <w:r w:rsidR="00B70D40">
        <w:rPr>
          <w:b/>
          <w:sz w:val="28"/>
          <w:u w:val="single"/>
        </w:rPr>
        <w:t>p</w:t>
      </w:r>
      <w:r w:rsidRPr="00D00AC0">
        <w:rPr>
          <w:b/>
          <w:sz w:val="28"/>
          <w:u w:val="single"/>
        </w:rPr>
        <w:t xml:space="preserve">opulations </w:t>
      </w:r>
      <w:r w:rsidR="00B70D40">
        <w:rPr>
          <w:b/>
          <w:sz w:val="28"/>
          <w:u w:val="single"/>
        </w:rPr>
        <w:t>e</w:t>
      </w:r>
      <w:r w:rsidRPr="00D00AC0">
        <w:rPr>
          <w:b/>
          <w:sz w:val="28"/>
          <w:u w:val="single"/>
        </w:rPr>
        <w:t>xercise, data flow, updates and next steps</w:t>
      </w:r>
    </w:p>
    <w:p w:rsidR="00C34229" w:rsidRDefault="00C34229"/>
    <w:p w:rsidR="00C34229" w:rsidRDefault="004C0521" w:rsidP="00D00AC0">
      <w:pPr>
        <w:pStyle w:val="ListParagraph"/>
        <w:numPr>
          <w:ilvl w:val="0"/>
          <w:numId w:val="2"/>
        </w:numPr>
      </w:pPr>
      <w:r>
        <w:t>Chris shows "PSMFC priority list" slide.</w:t>
      </w:r>
    </w:p>
    <w:p w:rsidR="004C0521" w:rsidRDefault="004C0521" w:rsidP="004C0521">
      <w:pPr>
        <w:pStyle w:val="ListParagraph"/>
        <w:numPr>
          <w:ilvl w:val="1"/>
          <w:numId w:val="2"/>
        </w:numPr>
      </w:pPr>
      <w:r>
        <w:t>Bart said it looks good.  No other comments.</w:t>
      </w:r>
    </w:p>
    <w:p w:rsidR="004C0521" w:rsidRDefault="004C0521" w:rsidP="00A8235C">
      <w:pPr>
        <w:pStyle w:val="ListParagraph"/>
        <w:numPr>
          <w:ilvl w:val="0"/>
          <w:numId w:val="2"/>
        </w:numPr>
      </w:pPr>
      <w:r>
        <w:t xml:space="preserve">Chris &amp; Bill told how to see the web page </w:t>
      </w:r>
      <w:r w:rsidR="00A8235C">
        <w:t>(</w:t>
      </w:r>
      <w:r w:rsidR="00A8235C" w:rsidRPr="00A8235C">
        <w:t>http://www.streamnet.org/ca-priority-data/</w:t>
      </w:r>
      <w:r w:rsidR="00A8235C">
        <w:t xml:space="preserve">) </w:t>
      </w:r>
      <w:r>
        <w:t>that shows current C.A. data and trend data status</w:t>
      </w:r>
      <w:r w:rsidR="00EA1E7C">
        <w:t>, and demonstrated the information on the page</w:t>
      </w:r>
      <w:r>
        <w:t>.</w:t>
      </w:r>
    </w:p>
    <w:p w:rsidR="00D40CB8" w:rsidRDefault="00D40CB8" w:rsidP="00D40CB8">
      <w:pPr>
        <w:pStyle w:val="ListParagraph"/>
        <w:numPr>
          <w:ilvl w:val="1"/>
          <w:numId w:val="2"/>
        </w:numPr>
      </w:pPr>
      <w:r>
        <w:t xml:space="preserve">Cedric asked if trends could be sorted by agency.  </w:t>
      </w:r>
      <w:r w:rsidRPr="00C61BA8">
        <w:rPr>
          <w:highlight w:val="yellow"/>
        </w:rPr>
        <w:t>Greg said he would do it.</w:t>
      </w:r>
    </w:p>
    <w:p w:rsidR="00C61BA8" w:rsidRDefault="0089576A" w:rsidP="0089576A">
      <w:pPr>
        <w:pStyle w:val="ListParagraph"/>
        <w:numPr>
          <w:ilvl w:val="1"/>
          <w:numId w:val="2"/>
        </w:numPr>
      </w:pPr>
      <w:r>
        <w:t xml:space="preserve">Chris said CA has gotten a very good reception in the region, so we need to </w:t>
      </w:r>
      <w:r w:rsidR="007B07AF">
        <w:t xml:space="preserve">try </w:t>
      </w:r>
      <w:r>
        <w:t>to produce the tier 1 &amp; 2 data to fulfill that expectation.  It's good for our project's future.  And if some data are not possible we need to be up front &amp; disclose that too.</w:t>
      </w:r>
    </w:p>
    <w:p w:rsidR="0089576A" w:rsidRDefault="00917C9A" w:rsidP="00917C9A">
      <w:pPr>
        <w:pStyle w:val="ListParagraph"/>
        <w:numPr>
          <w:ilvl w:val="0"/>
          <w:numId w:val="2"/>
        </w:numPr>
      </w:pPr>
      <w:r>
        <w:t xml:space="preserve">Henry and Bart asked how to attribute multiple entities to data.  Bill suggested new CompilerID values could be made that indicated something like "Shoshone-Bannock Tribes and IDFG" or "Shoshone-Bannock Tribes via IDFG", or whatever might be best.  </w:t>
      </w:r>
      <w:r w:rsidRPr="00FA693E">
        <w:rPr>
          <w:highlight w:val="yellow"/>
        </w:rPr>
        <w:t>Bill will</w:t>
      </w:r>
      <w:r w:rsidR="00FA693E" w:rsidRPr="00FA693E">
        <w:rPr>
          <w:highlight w:val="yellow"/>
        </w:rPr>
        <w:t xml:space="preserve"> work with Evan or Bart on appropriate new codes</w:t>
      </w:r>
      <w:r w:rsidR="007B07AF">
        <w:rPr>
          <w:highlight w:val="yellow"/>
        </w:rPr>
        <w:t>. Partners may need to review their data submissions to make sure data is fully attributed with this revision</w:t>
      </w:r>
      <w:r w:rsidR="00FA693E" w:rsidRPr="00FA693E">
        <w:rPr>
          <w:highlight w:val="yellow"/>
        </w:rPr>
        <w:t>.</w:t>
      </w:r>
    </w:p>
    <w:p w:rsidR="00FA693E" w:rsidRDefault="003325A4" w:rsidP="003325A4">
      <w:pPr>
        <w:pStyle w:val="ListParagraph"/>
        <w:numPr>
          <w:ilvl w:val="1"/>
          <w:numId w:val="2"/>
        </w:numPr>
      </w:pPr>
      <w:r w:rsidRPr="003325A4">
        <w:rPr>
          <w:highlight w:val="yellow"/>
        </w:rPr>
        <w:t>Greg said he would add trend owners at lower levels on the CA priority data web page.</w:t>
      </w:r>
    </w:p>
    <w:p w:rsidR="003325A4" w:rsidRDefault="00A052E5" w:rsidP="00A052E5">
      <w:pPr>
        <w:pStyle w:val="ListParagraph"/>
        <w:numPr>
          <w:ilvl w:val="0"/>
          <w:numId w:val="2"/>
        </w:numPr>
      </w:pPr>
      <w:r>
        <w:t>Chris showed a slide to let everyone know that either he or Mike will be nagging them periodically through August about the state of their CA priority data</w:t>
      </w:r>
      <w:r w:rsidR="003B1DB9">
        <w:t>, to be sure things are coming along</w:t>
      </w:r>
      <w:r>
        <w:t>.</w:t>
      </w:r>
    </w:p>
    <w:p w:rsidR="00CB4CC4" w:rsidRDefault="00CB4CC4" w:rsidP="00A052E5">
      <w:pPr>
        <w:pStyle w:val="ListParagraph"/>
        <w:numPr>
          <w:ilvl w:val="0"/>
          <w:numId w:val="2"/>
        </w:numPr>
      </w:pPr>
      <w:r>
        <w:t xml:space="preserve">Mike needs to cc. Roy Elicker when he contacts the Entiat ISEMP people to get population-scale data from them, as </w:t>
      </w:r>
      <w:r w:rsidR="00CB4C60">
        <w:t xml:space="preserve">USFWS is a participant in </w:t>
      </w:r>
      <w:r>
        <w:t>ISEMP i</w:t>
      </w:r>
      <w:r w:rsidR="00CB4C60">
        <w:t>n the Entiat</w:t>
      </w:r>
      <w:r>
        <w:t>.</w:t>
      </w:r>
    </w:p>
    <w:p w:rsidR="00C34229" w:rsidRDefault="00C34229"/>
    <w:p w:rsidR="00D00AC0" w:rsidRPr="0013364A" w:rsidRDefault="00B70D40">
      <w:pPr>
        <w:rPr>
          <w:b/>
          <w:u w:val="single"/>
        </w:rPr>
      </w:pPr>
      <w:r w:rsidRPr="0013364A">
        <w:rPr>
          <w:b/>
          <w:sz w:val="28"/>
          <w:u w:val="single"/>
        </w:rPr>
        <w:t>Round table</w:t>
      </w:r>
    </w:p>
    <w:p w:rsidR="00D00AC0" w:rsidRDefault="00D00AC0"/>
    <w:p w:rsidR="00D00AC0" w:rsidRDefault="00AB4E9F" w:rsidP="0013364A">
      <w:pPr>
        <w:pStyle w:val="ListParagraph"/>
        <w:numPr>
          <w:ilvl w:val="0"/>
          <w:numId w:val="3"/>
        </w:numPr>
      </w:pPr>
      <w:r>
        <w:t>Chris suggested that the SOW should mention / acknowledge that work may vary from the SOW as needs shift during the fiscal year.  Everyone agreed.</w:t>
      </w:r>
    </w:p>
    <w:p w:rsidR="00AB4E9F" w:rsidRPr="0004116D" w:rsidRDefault="00AB4E9F" w:rsidP="0013364A">
      <w:pPr>
        <w:pStyle w:val="ListParagraph"/>
        <w:numPr>
          <w:ilvl w:val="0"/>
          <w:numId w:val="3"/>
        </w:numPr>
        <w:rPr>
          <w:b/>
        </w:rPr>
      </w:pPr>
      <w:r w:rsidRPr="0004116D">
        <w:rPr>
          <w:b/>
        </w:rPr>
        <w:t>MFWP</w:t>
      </w:r>
    </w:p>
    <w:p w:rsidR="00AB4E9F" w:rsidRDefault="00AB4E9F" w:rsidP="00AB4E9F">
      <w:pPr>
        <w:pStyle w:val="ListParagraph"/>
        <w:numPr>
          <w:ilvl w:val="1"/>
          <w:numId w:val="3"/>
        </w:numPr>
      </w:pPr>
      <w:r>
        <w:t xml:space="preserve">Contractor being hired to build </w:t>
      </w:r>
      <w:r w:rsidR="00400C66">
        <w:t xml:space="preserve">mobile </w:t>
      </w:r>
      <w:r>
        <w:t>applications.</w:t>
      </w:r>
    </w:p>
    <w:p w:rsidR="00AB4E9F" w:rsidRDefault="004279FF" w:rsidP="00AB4E9F">
      <w:pPr>
        <w:pStyle w:val="ListParagraph"/>
        <w:numPr>
          <w:ilvl w:val="1"/>
          <w:numId w:val="3"/>
        </w:numPr>
      </w:pPr>
      <w:r>
        <w:lastRenderedPageBreak/>
        <w:t>Y</w:t>
      </w:r>
      <w:r w:rsidR="007B07AF">
        <w:t xml:space="preserve">ellowstone </w:t>
      </w:r>
      <w:r>
        <w:t>CT assessment update has been a ton of work keeping Jane busy.</w:t>
      </w:r>
    </w:p>
    <w:p w:rsidR="004279FF" w:rsidRDefault="004279FF" w:rsidP="00AB4E9F">
      <w:pPr>
        <w:pStyle w:val="ListParagraph"/>
        <w:numPr>
          <w:ilvl w:val="1"/>
          <w:numId w:val="3"/>
        </w:numPr>
      </w:pPr>
      <w:r>
        <w:t>24k hydro update has been a ton of work keeping Jane busy.</w:t>
      </w:r>
    </w:p>
    <w:p w:rsidR="004279FF" w:rsidRDefault="004279FF" w:rsidP="00AB4E9F">
      <w:pPr>
        <w:pStyle w:val="ListParagraph"/>
        <w:numPr>
          <w:ilvl w:val="1"/>
          <w:numId w:val="3"/>
        </w:numPr>
      </w:pPr>
      <w:r w:rsidRPr="004279FF">
        <w:rPr>
          <w:highlight w:val="yellow"/>
        </w:rPr>
        <w:t>Chris asked Dawn that the YCT data mention SN, as SN dollars are used to support it.</w:t>
      </w:r>
    </w:p>
    <w:p w:rsidR="004279FF" w:rsidRPr="0004116D" w:rsidRDefault="00E90C57" w:rsidP="00E90C57">
      <w:pPr>
        <w:pStyle w:val="ListParagraph"/>
        <w:numPr>
          <w:ilvl w:val="0"/>
          <w:numId w:val="3"/>
        </w:numPr>
        <w:rPr>
          <w:b/>
        </w:rPr>
      </w:pPr>
      <w:r w:rsidRPr="0004116D">
        <w:rPr>
          <w:b/>
        </w:rPr>
        <w:t>WDFW</w:t>
      </w:r>
    </w:p>
    <w:p w:rsidR="00E90C57" w:rsidRDefault="00400C66" w:rsidP="00E90C57">
      <w:pPr>
        <w:pStyle w:val="ListParagraph"/>
        <w:numPr>
          <w:ilvl w:val="1"/>
          <w:numId w:val="3"/>
        </w:numPr>
      </w:pPr>
      <w:r>
        <w:t>Mobile application development exploding.  But CIO fighting them on Bluetooth use as a potential security hole, which creates difficulties integrating PIT tag readers and other peripherals, which is what people really want.</w:t>
      </w:r>
    </w:p>
    <w:p w:rsidR="00400C66" w:rsidRDefault="00400C66" w:rsidP="00E90C57">
      <w:pPr>
        <w:pStyle w:val="ListParagraph"/>
        <w:numPr>
          <w:ilvl w:val="1"/>
          <w:numId w:val="3"/>
        </w:numPr>
      </w:pPr>
      <w:r>
        <w:t>Adult migrant exchange kicked off.  Should lead to better and more timely CA data delivery.</w:t>
      </w:r>
    </w:p>
    <w:p w:rsidR="00DB31DB" w:rsidRDefault="00DB31DB" w:rsidP="00E90C57">
      <w:pPr>
        <w:pStyle w:val="ListParagraph"/>
        <w:numPr>
          <w:ilvl w:val="1"/>
          <w:numId w:val="3"/>
        </w:numPr>
      </w:pPr>
      <w:r>
        <w:t>WDFW is up to date on CA NOSA and juvenile production data.</w:t>
      </w:r>
    </w:p>
    <w:p w:rsidR="00DB31DB" w:rsidRDefault="00DB31DB" w:rsidP="00E90C57">
      <w:pPr>
        <w:pStyle w:val="ListParagraph"/>
        <w:numPr>
          <w:ilvl w:val="1"/>
          <w:numId w:val="3"/>
        </w:numPr>
      </w:pPr>
      <w:r>
        <w:t>Working on tier 1/2 trend updates.  And actually tier 3 also.</w:t>
      </w:r>
    </w:p>
    <w:p w:rsidR="005C0204" w:rsidRPr="0004116D" w:rsidRDefault="005C0204" w:rsidP="005C0204">
      <w:pPr>
        <w:pStyle w:val="ListParagraph"/>
        <w:numPr>
          <w:ilvl w:val="0"/>
          <w:numId w:val="3"/>
        </w:numPr>
        <w:rPr>
          <w:b/>
        </w:rPr>
      </w:pPr>
      <w:r w:rsidRPr="0004116D">
        <w:rPr>
          <w:b/>
        </w:rPr>
        <w:t>IDFG</w:t>
      </w:r>
    </w:p>
    <w:p w:rsidR="005C0204" w:rsidRDefault="005C0204" w:rsidP="005C0204">
      <w:pPr>
        <w:pStyle w:val="ListParagraph"/>
        <w:numPr>
          <w:ilvl w:val="1"/>
          <w:numId w:val="3"/>
        </w:numPr>
      </w:pPr>
      <w:r>
        <w:t>Working on CA and trends and distribution.</w:t>
      </w:r>
    </w:p>
    <w:p w:rsidR="005C0204" w:rsidRDefault="005C0204" w:rsidP="005C0204">
      <w:pPr>
        <w:pStyle w:val="ListParagraph"/>
        <w:numPr>
          <w:ilvl w:val="1"/>
          <w:numId w:val="3"/>
        </w:numPr>
      </w:pPr>
      <w:r>
        <w:t>Replacing hydro person who resigned.  (Not a SN person, but affects this project.)</w:t>
      </w:r>
    </w:p>
    <w:p w:rsidR="00712487" w:rsidRDefault="00712487" w:rsidP="005C0204">
      <w:pPr>
        <w:pStyle w:val="ListParagraph"/>
        <w:numPr>
          <w:ilvl w:val="1"/>
          <w:numId w:val="3"/>
        </w:numPr>
      </w:pPr>
      <w:r>
        <w:t>Doing CA data validation.  Will submit data as soon as the data pass the rules.</w:t>
      </w:r>
    </w:p>
    <w:p w:rsidR="005C0204" w:rsidRPr="0004116D" w:rsidRDefault="005C0204" w:rsidP="005C0204">
      <w:pPr>
        <w:pStyle w:val="ListParagraph"/>
        <w:numPr>
          <w:ilvl w:val="0"/>
          <w:numId w:val="3"/>
        </w:numPr>
        <w:rPr>
          <w:b/>
        </w:rPr>
      </w:pPr>
      <w:r w:rsidRPr="0004116D">
        <w:rPr>
          <w:b/>
        </w:rPr>
        <w:t>USFWS</w:t>
      </w:r>
    </w:p>
    <w:p w:rsidR="005C0204" w:rsidRDefault="00B95627" w:rsidP="005C0204">
      <w:pPr>
        <w:pStyle w:val="ListParagraph"/>
        <w:numPr>
          <w:ilvl w:val="1"/>
          <w:numId w:val="3"/>
        </w:numPr>
      </w:pPr>
      <w:r>
        <w:t>The 1/2 FTE still is not filled.  There are several recent higher-level vacancies and they want to fill those positions before the lower level one.</w:t>
      </w:r>
    </w:p>
    <w:p w:rsidR="00B95627" w:rsidRDefault="00B95627" w:rsidP="005C0204">
      <w:pPr>
        <w:pStyle w:val="ListParagraph"/>
        <w:numPr>
          <w:ilvl w:val="1"/>
          <w:numId w:val="3"/>
        </w:numPr>
      </w:pPr>
      <w:r>
        <w:t xml:space="preserve">Roy Elicker </w:t>
      </w:r>
      <w:r w:rsidR="000B31D2">
        <w:t>i</w:t>
      </w:r>
      <w:r>
        <w:t>s impressed with the benefits the FINS hatchery database system (made by IDFG and PSMFC) has for the LSRCP program.</w:t>
      </w:r>
      <w:r w:rsidR="000B31D2">
        <w:t xml:space="preserve">  </w:t>
      </w:r>
      <w:r w:rsidR="00D21E85">
        <w:t>USFWS may want to use it or a modified version when it's done.</w:t>
      </w:r>
    </w:p>
    <w:p w:rsidR="00D21E85" w:rsidRPr="003C0F8B" w:rsidRDefault="00D21E85" w:rsidP="00D21E85">
      <w:pPr>
        <w:pStyle w:val="ListParagraph"/>
        <w:numPr>
          <w:ilvl w:val="0"/>
          <w:numId w:val="3"/>
        </w:numPr>
        <w:rPr>
          <w:b/>
        </w:rPr>
      </w:pPr>
      <w:r w:rsidRPr="003C0F8B">
        <w:rPr>
          <w:b/>
        </w:rPr>
        <w:t>ODFW</w:t>
      </w:r>
    </w:p>
    <w:p w:rsidR="00D21E85" w:rsidRDefault="00791360" w:rsidP="00D21E85">
      <w:pPr>
        <w:pStyle w:val="ListParagraph"/>
        <w:numPr>
          <w:ilvl w:val="1"/>
          <w:numId w:val="3"/>
        </w:numPr>
      </w:pPr>
      <w:r>
        <w:t>Submitted CA data.  Validation worked well and was very useful.</w:t>
      </w:r>
      <w:bookmarkStart w:id="0" w:name="_GoBack"/>
      <w:bookmarkEnd w:id="0"/>
    </w:p>
    <w:p w:rsidR="00791360" w:rsidRDefault="00791360" w:rsidP="00D21E85">
      <w:pPr>
        <w:pStyle w:val="ListParagraph"/>
        <w:numPr>
          <w:ilvl w:val="1"/>
          <w:numId w:val="3"/>
        </w:numPr>
      </w:pPr>
      <w:r>
        <w:t>Spoke with Van regarding hydro and distribution data.</w:t>
      </w:r>
    </w:p>
    <w:p w:rsidR="00791360" w:rsidRDefault="00791360" w:rsidP="00D21E85">
      <w:pPr>
        <w:pStyle w:val="ListParagraph"/>
        <w:numPr>
          <w:ilvl w:val="1"/>
          <w:numId w:val="3"/>
        </w:numPr>
      </w:pPr>
      <w:r>
        <w:t>Spoke with Mike about the data category change proposal from the last SNSC meeting.  No changes are proposed at this time.</w:t>
      </w:r>
    </w:p>
    <w:p w:rsidR="00791360" w:rsidRDefault="00791360" w:rsidP="00D21E85">
      <w:pPr>
        <w:pStyle w:val="ListParagraph"/>
        <w:numPr>
          <w:ilvl w:val="1"/>
          <w:numId w:val="3"/>
        </w:numPr>
      </w:pPr>
      <w:r>
        <w:t>Mobile application development occurring.  Having trouble getting permission to use Apple products.</w:t>
      </w:r>
    </w:p>
    <w:p w:rsidR="00791360" w:rsidRPr="00791360" w:rsidRDefault="00791360" w:rsidP="00791360">
      <w:pPr>
        <w:pStyle w:val="ListParagraph"/>
        <w:numPr>
          <w:ilvl w:val="0"/>
          <w:numId w:val="3"/>
        </w:numPr>
        <w:rPr>
          <w:b/>
        </w:rPr>
      </w:pPr>
      <w:r w:rsidRPr="00791360">
        <w:rPr>
          <w:b/>
        </w:rPr>
        <w:t>CRITFC</w:t>
      </w:r>
    </w:p>
    <w:p w:rsidR="00791360" w:rsidRDefault="002C3B91" w:rsidP="00791360">
      <w:pPr>
        <w:pStyle w:val="ListParagraph"/>
        <w:numPr>
          <w:ilvl w:val="1"/>
          <w:numId w:val="3"/>
        </w:numPr>
      </w:pPr>
      <w:r>
        <w:t>Umatilla / NPT / Yakama not able to send C.A. data via web service thanks to programming Greg W. did in Access.</w:t>
      </w:r>
    </w:p>
    <w:p w:rsidR="002C3B91" w:rsidRPr="002C3B91" w:rsidRDefault="002C3B91" w:rsidP="002C3B91">
      <w:pPr>
        <w:pStyle w:val="ListParagraph"/>
        <w:numPr>
          <w:ilvl w:val="0"/>
          <w:numId w:val="3"/>
        </w:numPr>
        <w:rPr>
          <w:b/>
        </w:rPr>
      </w:pPr>
      <w:r w:rsidRPr="002C3B91">
        <w:rPr>
          <w:b/>
        </w:rPr>
        <w:t>BPA</w:t>
      </w:r>
    </w:p>
    <w:p w:rsidR="002C3B91" w:rsidRPr="007B07AF" w:rsidRDefault="002C3B91" w:rsidP="002C3B91">
      <w:pPr>
        <w:pStyle w:val="ListParagraph"/>
        <w:numPr>
          <w:ilvl w:val="1"/>
          <w:numId w:val="3"/>
        </w:numPr>
        <w:rPr>
          <w:highlight w:val="yellow"/>
        </w:rPr>
      </w:pPr>
      <w:r>
        <w:t>At this point (almost 1/2 way through fiscal year) the FY16 budget is only 20% spent.  Everyone should be spending and billing, and telling Chris how spending is going.</w:t>
      </w:r>
      <w:r w:rsidR="007B07AF">
        <w:t xml:space="preserve"> </w:t>
      </w:r>
      <w:r w:rsidR="007B07AF" w:rsidRPr="007B07AF">
        <w:rPr>
          <w:highlight w:val="yellow"/>
        </w:rPr>
        <w:t>Chris agreed to resume the periodic budget updates again so people can tell what has been billed.</w:t>
      </w:r>
    </w:p>
    <w:p w:rsidR="002C3B91" w:rsidRPr="007B07AF" w:rsidRDefault="002C3B91" w:rsidP="002C3B91">
      <w:pPr>
        <w:pStyle w:val="ListParagraph"/>
        <w:numPr>
          <w:ilvl w:val="1"/>
          <w:numId w:val="3"/>
        </w:numPr>
        <w:rPr>
          <w:highlight w:val="yellow"/>
        </w:rPr>
      </w:pPr>
      <w:r>
        <w:t xml:space="preserve">"Expert panels" and "Atlas" efforts are producing new information.  These are not one-off efforts but are on-going processes to keep the most recent data available, and we should be capturing these data.  These projects have money that could potentially be used for SN people to travel to attend their meetings.  </w:t>
      </w:r>
      <w:r w:rsidRPr="002C3B91">
        <w:rPr>
          <w:highlight w:val="yellow"/>
        </w:rPr>
        <w:t>Tom P. will try to get their schedules</w:t>
      </w:r>
      <w:r>
        <w:t xml:space="preserve">, and asked </w:t>
      </w:r>
      <w:r w:rsidRPr="002C3B91">
        <w:rPr>
          <w:highlight w:val="yellow"/>
        </w:rPr>
        <w:t>states to find out who in the agencies go to these meetings</w:t>
      </w:r>
      <w:r w:rsidR="007B07AF" w:rsidRPr="007B07AF">
        <w:rPr>
          <w:highlight w:val="yellow"/>
        </w:rPr>
        <w:t>. These were emailed 3/21</w:t>
      </w:r>
      <w:r w:rsidRPr="007B07AF">
        <w:rPr>
          <w:highlight w:val="yellow"/>
        </w:rPr>
        <w:t>.</w:t>
      </w:r>
    </w:p>
    <w:p w:rsidR="002C3B91" w:rsidRDefault="00434A1E" w:rsidP="00434A1E">
      <w:pPr>
        <w:pStyle w:val="ListParagraph"/>
        <w:numPr>
          <w:ilvl w:val="2"/>
          <w:numId w:val="3"/>
        </w:numPr>
      </w:pPr>
      <w:r>
        <w:t>Cedric found and sent a link (</w:t>
      </w:r>
      <w:r w:rsidRPr="00434A1E">
        <w:t>http://www.usbr.gov/pn/fcrps/habitat/panels/</w:t>
      </w:r>
      <w:r>
        <w:t>) to the Expert Panels web site.</w:t>
      </w:r>
    </w:p>
    <w:p w:rsidR="005C4F90" w:rsidRPr="005C4F90" w:rsidRDefault="005C4F90" w:rsidP="005C4F90">
      <w:pPr>
        <w:pStyle w:val="ListParagraph"/>
        <w:numPr>
          <w:ilvl w:val="0"/>
          <w:numId w:val="3"/>
        </w:numPr>
        <w:rPr>
          <w:b/>
        </w:rPr>
      </w:pPr>
      <w:r w:rsidRPr="005C4F90">
        <w:rPr>
          <w:b/>
        </w:rPr>
        <w:t>CCT</w:t>
      </w:r>
    </w:p>
    <w:p w:rsidR="005C4F90" w:rsidRDefault="005C4F90" w:rsidP="005C4F90">
      <w:pPr>
        <w:pStyle w:val="ListParagraph"/>
        <w:numPr>
          <w:ilvl w:val="1"/>
          <w:numId w:val="3"/>
        </w:numPr>
      </w:pPr>
      <w:r>
        <w:t>NOSA data will be submitted.</w:t>
      </w:r>
    </w:p>
    <w:p w:rsidR="005C4F90" w:rsidRDefault="005C4F90" w:rsidP="005C4F90">
      <w:pPr>
        <w:pStyle w:val="ListParagraph"/>
        <w:numPr>
          <w:ilvl w:val="1"/>
          <w:numId w:val="3"/>
        </w:numPr>
      </w:pPr>
      <w:r>
        <w:lastRenderedPageBreak/>
        <w:t>Paul going full time on CCT SN budget in 2 weeks.  CCT was not able to spend their SN money last fiscal year, but will this year.</w:t>
      </w:r>
    </w:p>
    <w:p w:rsidR="00C25912" w:rsidRPr="00C25912" w:rsidRDefault="00C25912" w:rsidP="00C25912">
      <w:pPr>
        <w:pStyle w:val="ListParagraph"/>
        <w:numPr>
          <w:ilvl w:val="0"/>
          <w:numId w:val="3"/>
        </w:numPr>
        <w:rPr>
          <w:b/>
        </w:rPr>
      </w:pPr>
      <w:r w:rsidRPr="00C25912">
        <w:rPr>
          <w:b/>
        </w:rPr>
        <w:t>PSMFC</w:t>
      </w:r>
    </w:p>
    <w:p w:rsidR="00C25912" w:rsidRDefault="00C25912" w:rsidP="006F2C27">
      <w:pPr>
        <w:pStyle w:val="ListParagraph"/>
        <w:numPr>
          <w:ilvl w:val="1"/>
          <w:numId w:val="3"/>
        </w:numPr>
      </w:pPr>
      <w:r>
        <w:t>We will soon begin work to automate submission of trend data using the same approach developed for the CA data.</w:t>
      </w:r>
      <w:r w:rsidR="000A2E62">
        <w:t xml:space="preserve">  This will be a </w:t>
      </w:r>
      <w:r w:rsidR="007C0D7A">
        <w:t xml:space="preserve">big effort, as there are lots (hundreds) of data quality rules that Bill currently </w:t>
      </w:r>
      <w:r w:rsidR="000A2E62">
        <w:t>performs on in-coming data</w:t>
      </w:r>
      <w:r w:rsidR="007C0D7A">
        <w:t xml:space="preserve">, and </w:t>
      </w:r>
      <w:r w:rsidR="000A2E62">
        <w:t xml:space="preserve">if possible </w:t>
      </w:r>
      <w:r w:rsidR="007C0D7A">
        <w:t>we want to make all those run automatically and report back to the data submitter</w:t>
      </w:r>
      <w:r w:rsidR="000A2E62">
        <w:t xml:space="preserve"> rather than require a human to look at the data</w:t>
      </w:r>
      <w:r w:rsidR="007C0D7A">
        <w:t>.</w:t>
      </w:r>
    </w:p>
    <w:p w:rsidR="00634FD7" w:rsidRDefault="00634FD7" w:rsidP="00634FD7"/>
    <w:p w:rsidR="00634FD7" w:rsidRDefault="00634FD7" w:rsidP="00634FD7"/>
    <w:p w:rsidR="00634FD7" w:rsidRDefault="00634FD7" w:rsidP="00634FD7"/>
    <w:sectPr w:rsidR="00634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0B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4FC4A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F5B10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5CE"/>
    <w:rsid w:val="0004116D"/>
    <w:rsid w:val="00074C01"/>
    <w:rsid w:val="0009323B"/>
    <w:rsid w:val="000A2E62"/>
    <w:rsid w:val="000B23C5"/>
    <w:rsid w:val="000B31D2"/>
    <w:rsid w:val="000D1484"/>
    <w:rsid w:val="000D777A"/>
    <w:rsid w:val="00117F06"/>
    <w:rsid w:val="0013364A"/>
    <w:rsid w:val="0019786F"/>
    <w:rsid w:val="001C7354"/>
    <w:rsid w:val="0020033C"/>
    <w:rsid w:val="002C3B91"/>
    <w:rsid w:val="003325A4"/>
    <w:rsid w:val="003B1DB9"/>
    <w:rsid w:val="003C0F8B"/>
    <w:rsid w:val="00400C66"/>
    <w:rsid w:val="0042782C"/>
    <w:rsid w:val="004279FF"/>
    <w:rsid w:val="00434A1E"/>
    <w:rsid w:val="00445E46"/>
    <w:rsid w:val="00481F53"/>
    <w:rsid w:val="00482F44"/>
    <w:rsid w:val="00492169"/>
    <w:rsid w:val="004C0521"/>
    <w:rsid w:val="004F3FED"/>
    <w:rsid w:val="00514F05"/>
    <w:rsid w:val="00564788"/>
    <w:rsid w:val="0058607E"/>
    <w:rsid w:val="005C0204"/>
    <w:rsid w:val="005C4F90"/>
    <w:rsid w:val="005D6628"/>
    <w:rsid w:val="005E0B5F"/>
    <w:rsid w:val="006137CD"/>
    <w:rsid w:val="00623435"/>
    <w:rsid w:val="006268AC"/>
    <w:rsid w:val="00634FD7"/>
    <w:rsid w:val="006C531F"/>
    <w:rsid w:val="00712487"/>
    <w:rsid w:val="00747CE1"/>
    <w:rsid w:val="00765459"/>
    <w:rsid w:val="00791360"/>
    <w:rsid w:val="007B07AF"/>
    <w:rsid w:val="007C0D7A"/>
    <w:rsid w:val="008415AE"/>
    <w:rsid w:val="0089576A"/>
    <w:rsid w:val="00917C9A"/>
    <w:rsid w:val="009C1307"/>
    <w:rsid w:val="009F41C6"/>
    <w:rsid w:val="00A052E5"/>
    <w:rsid w:val="00A665CE"/>
    <w:rsid w:val="00A8235C"/>
    <w:rsid w:val="00AA5EAD"/>
    <w:rsid w:val="00AB4E9F"/>
    <w:rsid w:val="00AE3303"/>
    <w:rsid w:val="00B24814"/>
    <w:rsid w:val="00B67A11"/>
    <w:rsid w:val="00B70D40"/>
    <w:rsid w:val="00B95627"/>
    <w:rsid w:val="00C10EA1"/>
    <w:rsid w:val="00C25912"/>
    <w:rsid w:val="00C34229"/>
    <w:rsid w:val="00C61BA8"/>
    <w:rsid w:val="00CB4C60"/>
    <w:rsid w:val="00CB4CC4"/>
    <w:rsid w:val="00D00AC0"/>
    <w:rsid w:val="00D21E85"/>
    <w:rsid w:val="00D2798C"/>
    <w:rsid w:val="00D40CB8"/>
    <w:rsid w:val="00DB31DB"/>
    <w:rsid w:val="00DC7206"/>
    <w:rsid w:val="00E90C57"/>
    <w:rsid w:val="00E941A1"/>
    <w:rsid w:val="00EA1E7C"/>
    <w:rsid w:val="00F80877"/>
    <w:rsid w:val="00FA2038"/>
    <w:rsid w:val="00FA693E"/>
    <w:rsid w:val="00FB1115"/>
    <w:rsid w:val="00FC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083F"/>
  <w15:chartTrackingRefBased/>
  <w15:docId w15:val="{BB1963A4-6935-43A3-85CE-86451CA6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68556">
      <w:bodyDiv w:val="1"/>
      <w:marLeft w:val="0"/>
      <w:marRight w:val="0"/>
      <w:marTop w:val="0"/>
      <w:marBottom w:val="0"/>
      <w:divBdr>
        <w:top w:val="none" w:sz="0" w:space="0" w:color="auto"/>
        <w:left w:val="none" w:sz="0" w:space="0" w:color="auto"/>
        <w:bottom w:val="none" w:sz="0" w:space="0" w:color="auto"/>
        <w:right w:val="none" w:sz="0" w:space="0" w:color="auto"/>
      </w:divBdr>
    </w:div>
    <w:div w:id="11797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Banach</dc:creator>
  <cp:keywords/>
  <dc:description/>
  <cp:lastModifiedBy>Chris Wheaton</cp:lastModifiedBy>
  <cp:revision>3</cp:revision>
  <dcterms:created xsi:type="dcterms:W3CDTF">2016-03-21T18:20:00Z</dcterms:created>
  <dcterms:modified xsi:type="dcterms:W3CDTF">2016-03-21T18:27:00Z</dcterms:modified>
</cp:coreProperties>
</file>